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D7C" w:rsidRPr="00C863B1" w:rsidRDefault="00CB15D8" w:rsidP="00C863B1">
      <w:pPr>
        <w:spacing w:after="0"/>
        <w:jc w:val="center"/>
        <w:rPr>
          <w:b/>
          <w:sz w:val="24"/>
          <w:szCs w:val="24"/>
        </w:rPr>
      </w:pPr>
      <w:r w:rsidRPr="00C863B1">
        <w:rPr>
          <w:b/>
          <w:sz w:val="24"/>
          <w:szCs w:val="24"/>
        </w:rPr>
        <w:t xml:space="preserve">WSSDA </w:t>
      </w:r>
      <w:r w:rsidR="00C863B1">
        <w:rPr>
          <w:b/>
          <w:sz w:val="24"/>
          <w:szCs w:val="24"/>
        </w:rPr>
        <w:t xml:space="preserve">Position Listing: </w:t>
      </w:r>
      <w:r w:rsidRPr="00C863B1">
        <w:rPr>
          <w:b/>
          <w:sz w:val="24"/>
          <w:szCs w:val="24"/>
        </w:rPr>
        <w:t>Teacher Certification</w:t>
      </w:r>
      <w:r w:rsidR="00C30EBE" w:rsidRPr="00C863B1">
        <w:rPr>
          <w:b/>
          <w:sz w:val="24"/>
          <w:szCs w:val="24"/>
        </w:rPr>
        <w:t xml:space="preserve">, </w:t>
      </w:r>
      <w:r w:rsidR="00EF26DA">
        <w:rPr>
          <w:b/>
          <w:sz w:val="24"/>
          <w:szCs w:val="24"/>
        </w:rPr>
        <w:t>Professional Development</w:t>
      </w:r>
      <w:r w:rsidR="00C30EBE" w:rsidRPr="00C863B1">
        <w:rPr>
          <w:b/>
          <w:sz w:val="24"/>
          <w:szCs w:val="24"/>
        </w:rPr>
        <w:t>, and Shortage</w:t>
      </w:r>
      <w:r w:rsidRPr="00C863B1">
        <w:rPr>
          <w:b/>
          <w:sz w:val="24"/>
          <w:szCs w:val="24"/>
        </w:rPr>
        <w:t xml:space="preserve"> Positions</w:t>
      </w:r>
    </w:p>
    <w:p w:rsidR="00CB15D8" w:rsidRPr="00C863B1" w:rsidRDefault="00CB15D8" w:rsidP="00CB15D8">
      <w:pPr>
        <w:spacing w:after="0"/>
        <w:rPr>
          <w:b/>
          <w:sz w:val="21"/>
          <w:szCs w:val="21"/>
        </w:rPr>
      </w:pPr>
    </w:p>
    <w:p w:rsidR="00CB15D8" w:rsidRPr="00C863B1" w:rsidRDefault="00CB15D8" w:rsidP="00CB15D8">
      <w:pPr>
        <w:spacing w:after="0"/>
        <w:rPr>
          <w:b/>
          <w:sz w:val="21"/>
          <w:szCs w:val="21"/>
          <w:u w:val="single"/>
        </w:rPr>
      </w:pPr>
      <w:r w:rsidRPr="00C863B1">
        <w:rPr>
          <w:b/>
          <w:sz w:val="21"/>
          <w:szCs w:val="21"/>
          <w:u w:val="single"/>
        </w:rPr>
        <w:t>2015 WSSDA Permanent Positions:</w:t>
      </w:r>
    </w:p>
    <w:p w:rsidR="00CB15D8" w:rsidRPr="00C863B1" w:rsidRDefault="00CB15D8" w:rsidP="00CB15D8">
      <w:pPr>
        <w:pStyle w:val="ListParagraph"/>
        <w:widowControl w:val="0"/>
        <w:numPr>
          <w:ilvl w:val="2"/>
          <w:numId w:val="2"/>
        </w:numPr>
        <w:spacing w:after="0" w:line="240" w:lineRule="auto"/>
        <w:contextualSpacing w:val="0"/>
        <w:rPr>
          <w:b/>
          <w:caps/>
          <w:sz w:val="21"/>
          <w:szCs w:val="21"/>
        </w:rPr>
      </w:pPr>
      <w:r w:rsidRPr="00C863B1">
        <w:rPr>
          <w:b/>
          <w:caps/>
          <w:sz w:val="21"/>
          <w:szCs w:val="21"/>
        </w:rPr>
        <w:t>Teacher Certification</w:t>
      </w:r>
    </w:p>
    <w:p w:rsidR="00CB15D8" w:rsidRPr="00C863B1" w:rsidRDefault="00CB15D8" w:rsidP="00CB15D8">
      <w:pPr>
        <w:pStyle w:val="ListParagraph"/>
        <w:spacing w:after="0"/>
        <w:ind w:left="954"/>
        <w:rPr>
          <w:sz w:val="21"/>
          <w:szCs w:val="21"/>
        </w:rPr>
      </w:pPr>
      <w:r w:rsidRPr="00C863B1">
        <w:rPr>
          <w:sz w:val="21"/>
          <w:szCs w:val="21"/>
        </w:rPr>
        <w:t>WSSDA supports:</w:t>
      </w:r>
    </w:p>
    <w:p w:rsidR="00CB15D8" w:rsidRPr="00C863B1" w:rsidRDefault="00CB15D8" w:rsidP="00C863B1">
      <w:pPr>
        <w:pStyle w:val="ListParagraph"/>
        <w:widowControl w:val="0"/>
        <w:numPr>
          <w:ilvl w:val="0"/>
          <w:numId w:val="3"/>
        </w:numPr>
        <w:tabs>
          <w:tab w:val="left" w:pos="1260"/>
        </w:tabs>
        <w:spacing w:after="0" w:line="240" w:lineRule="auto"/>
        <w:ind w:left="1260"/>
        <w:contextualSpacing w:val="0"/>
        <w:rPr>
          <w:sz w:val="21"/>
          <w:szCs w:val="21"/>
        </w:rPr>
      </w:pPr>
      <w:r w:rsidRPr="00C863B1">
        <w:rPr>
          <w:sz w:val="21"/>
          <w:szCs w:val="21"/>
        </w:rPr>
        <w:t>The basic requirement of a baccalaureate degree and teachers certification;</w:t>
      </w:r>
    </w:p>
    <w:p w:rsidR="00CB15D8" w:rsidRPr="00C863B1" w:rsidRDefault="00CB15D8" w:rsidP="00C863B1">
      <w:pPr>
        <w:pStyle w:val="ListParagraph"/>
        <w:widowControl w:val="0"/>
        <w:numPr>
          <w:ilvl w:val="0"/>
          <w:numId w:val="3"/>
        </w:numPr>
        <w:tabs>
          <w:tab w:val="left" w:pos="1260"/>
        </w:tabs>
        <w:spacing w:after="0" w:line="240" w:lineRule="auto"/>
        <w:ind w:left="1260"/>
        <w:contextualSpacing w:val="0"/>
        <w:rPr>
          <w:sz w:val="21"/>
          <w:szCs w:val="21"/>
        </w:rPr>
      </w:pPr>
      <w:r w:rsidRPr="00C863B1">
        <w:rPr>
          <w:sz w:val="21"/>
          <w:szCs w:val="21"/>
        </w:rPr>
        <w:t>State and federal requirements for highly-qualified status;</w:t>
      </w:r>
    </w:p>
    <w:p w:rsidR="00CB15D8" w:rsidRPr="00C863B1" w:rsidRDefault="00CB15D8" w:rsidP="00C863B1">
      <w:pPr>
        <w:pStyle w:val="ListParagraph"/>
        <w:widowControl w:val="0"/>
        <w:numPr>
          <w:ilvl w:val="0"/>
          <w:numId w:val="3"/>
        </w:numPr>
        <w:tabs>
          <w:tab w:val="left" w:pos="1260"/>
        </w:tabs>
        <w:spacing w:after="0" w:line="240" w:lineRule="auto"/>
        <w:ind w:left="1260"/>
        <w:contextualSpacing w:val="0"/>
        <w:rPr>
          <w:sz w:val="21"/>
          <w:szCs w:val="21"/>
        </w:rPr>
      </w:pPr>
      <w:r w:rsidRPr="00C863B1">
        <w:rPr>
          <w:sz w:val="21"/>
          <w:szCs w:val="21"/>
        </w:rPr>
        <w:t>Alternative routes to certification for individuals with professional and/or work-related expertise; and</w:t>
      </w:r>
    </w:p>
    <w:p w:rsidR="00CB15D8" w:rsidRPr="00C863B1" w:rsidRDefault="00CB15D8" w:rsidP="00C863B1">
      <w:pPr>
        <w:pStyle w:val="ListParagraph"/>
        <w:widowControl w:val="0"/>
        <w:numPr>
          <w:ilvl w:val="0"/>
          <w:numId w:val="3"/>
        </w:numPr>
        <w:tabs>
          <w:tab w:val="left" w:pos="1260"/>
        </w:tabs>
        <w:spacing w:after="0" w:line="240" w:lineRule="auto"/>
        <w:ind w:left="1260"/>
        <w:contextualSpacing w:val="0"/>
        <w:rPr>
          <w:sz w:val="21"/>
          <w:szCs w:val="21"/>
        </w:rPr>
      </w:pPr>
      <w:r w:rsidRPr="00C863B1">
        <w:rPr>
          <w:sz w:val="21"/>
          <w:szCs w:val="21"/>
        </w:rPr>
        <w:t>Continuing education requirements for educators related to their teaching assignments.</w:t>
      </w:r>
    </w:p>
    <w:p w:rsidR="00CB15D8" w:rsidRPr="00C863B1" w:rsidRDefault="00CB15D8" w:rsidP="00C863B1">
      <w:pPr>
        <w:spacing w:after="0"/>
        <w:ind w:left="234" w:firstLine="720"/>
        <w:rPr>
          <w:i/>
          <w:sz w:val="21"/>
          <w:szCs w:val="21"/>
        </w:rPr>
      </w:pPr>
      <w:r w:rsidRPr="00C863B1">
        <w:rPr>
          <w:i/>
          <w:sz w:val="21"/>
          <w:szCs w:val="21"/>
        </w:rPr>
        <w:t>(Adopted 1987; Amended 1993, 1998, 2003, 2008)</w:t>
      </w:r>
    </w:p>
    <w:p w:rsidR="00CB15D8" w:rsidRPr="00C863B1" w:rsidRDefault="00CB15D8" w:rsidP="00CB15D8">
      <w:pPr>
        <w:spacing w:after="0"/>
        <w:jc w:val="right"/>
        <w:rPr>
          <w:i/>
          <w:sz w:val="21"/>
          <w:szCs w:val="21"/>
        </w:rPr>
      </w:pPr>
    </w:p>
    <w:p w:rsidR="00CB15D8" w:rsidRPr="00C863B1" w:rsidRDefault="00CB15D8" w:rsidP="00CB15D8">
      <w:pPr>
        <w:pStyle w:val="ListParagraph"/>
        <w:widowControl w:val="0"/>
        <w:numPr>
          <w:ilvl w:val="2"/>
          <w:numId w:val="4"/>
        </w:numPr>
        <w:spacing w:after="0" w:line="240" w:lineRule="auto"/>
        <w:contextualSpacing w:val="0"/>
        <w:rPr>
          <w:b/>
          <w:caps/>
          <w:sz w:val="21"/>
          <w:szCs w:val="21"/>
        </w:rPr>
      </w:pPr>
      <w:r w:rsidRPr="00C863B1">
        <w:rPr>
          <w:b/>
          <w:caps/>
          <w:sz w:val="21"/>
          <w:szCs w:val="21"/>
        </w:rPr>
        <w:t>Staff Development</w:t>
      </w:r>
    </w:p>
    <w:p w:rsidR="00CB15D8" w:rsidRPr="00C863B1" w:rsidRDefault="00CB15D8" w:rsidP="00C863B1">
      <w:pPr>
        <w:pStyle w:val="ListParagraph"/>
        <w:spacing w:after="0"/>
        <w:ind w:left="954"/>
        <w:rPr>
          <w:sz w:val="21"/>
          <w:szCs w:val="21"/>
        </w:rPr>
      </w:pPr>
      <w:r w:rsidRPr="00C863B1">
        <w:rPr>
          <w:sz w:val="21"/>
          <w:szCs w:val="21"/>
        </w:rPr>
        <w:t>WSSDA recommends continuous staff development through the development of policies, programs, and training at the local level based on local conditions</w:t>
      </w:r>
      <w:proofErr w:type="gramStart"/>
      <w:r w:rsidRPr="00C863B1">
        <w:rPr>
          <w:sz w:val="21"/>
          <w:szCs w:val="21"/>
        </w:rPr>
        <w:t>.</w:t>
      </w:r>
      <w:r w:rsidRPr="00C863B1">
        <w:rPr>
          <w:i/>
          <w:sz w:val="21"/>
          <w:szCs w:val="21"/>
        </w:rPr>
        <w:t>(</w:t>
      </w:r>
      <w:proofErr w:type="gramEnd"/>
      <w:r w:rsidRPr="00C863B1">
        <w:rPr>
          <w:i/>
          <w:sz w:val="21"/>
          <w:szCs w:val="21"/>
        </w:rPr>
        <w:t>Adopted 1980; Amended 1988 and 1993, 2008, 2013)</w:t>
      </w:r>
    </w:p>
    <w:p w:rsidR="00CA63EF" w:rsidRPr="00C863B1" w:rsidRDefault="00CA63EF" w:rsidP="00CB15D8">
      <w:pPr>
        <w:spacing w:after="0"/>
        <w:rPr>
          <w:b/>
          <w:sz w:val="21"/>
          <w:szCs w:val="21"/>
          <w:u w:val="single"/>
        </w:rPr>
      </w:pPr>
    </w:p>
    <w:p w:rsidR="00CB15D8" w:rsidRPr="00C863B1" w:rsidRDefault="00CA63EF" w:rsidP="00CB15D8">
      <w:pPr>
        <w:spacing w:after="0"/>
        <w:rPr>
          <w:b/>
          <w:sz w:val="21"/>
          <w:szCs w:val="21"/>
          <w:u w:val="single"/>
        </w:rPr>
      </w:pPr>
      <w:r w:rsidRPr="00C863B1">
        <w:rPr>
          <w:b/>
          <w:sz w:val="21"/>
          <w:szCs w:val="21"/>
          <w:u w:val="single"/>
        </w:rPr>
        <w:t xml:space="preserve">2016 </w:t>
      </w:r>
      <w:r w:rsidR="00CB15D8" w:rsidRPr="00C863B1">
        <w:rPr>
          <w:b/>
          <w:sz w:val="21"/>
          <w:szCs w:val="21"/>
          <w:u w:val="single"/>
        </w:rPr>
        <w:t xml:space="preserve">Standing </w:t>
      </w:r>
      <w:r w:rsidRPr="00C863B1">
        <w:rPr>
          <w:b/>
          <w:sz w:val="21"/>
          <w:szCs w:val="21"/>
          <w:u w:val="single"/>
        </w:rPr>
        <w:t xml:space="preserve">Legislative </w:t>
      </w:r>
      <w:r w:rsidR="00CB15D8" w:rsidRPr="00C863B1">
        <w:rPr>
          <w:b/>
          <w:sz w:val="21"/>
          <w:szCs w:val="21"/>
          <w:u w:val="single"/>
        </w:rPr>
        <w:t xml:space="preserve">Positions: </w:t>
      </w:r>
    </w:p>
    <w:p w:rsidR="00CB15D8" w:rsidRPr="00C863B1" w:rsidRDefault="00CB15D8" w:rsidP="00C863B1">
      <w:pPr>
        <w:pStyle w:val="NoSpacing"/>
        <w:numPr>
          <w:ilvl w:val="0"/>
          <w:numId w:val="1"/>
        </w:numPr>
        <w:tabs>
          <w:tab w:val="left" w:pos="450"/>
        </w:tabs>
        <w:spacing w:line="276" w:lineRule="auto"/>
        <w:ind w:left="450"/>
        <w:rPr>
          <w:rFonts w:cs="Times New Roman"/>
          <w:b/>
          <w:color w:val="000000" w:themeColor="text1"/>
          <w:sz w:val="21"/>
          <w:szCs w:val="21"/>
        </w:rPr>
      </w:pPr>
      <w:r w:rsidRPr="00C863B1">
        <w:rPr>
          <w:rFonts w:cs="Times New Roman"/>
          <w:b/>
          <w:color w:val="000000" w:themeColor="text1"/>
          <w:sz w:val="21"/>
          <w:szCs w:val="21"/>
        </w:rPr>
        <w:t>7.6.11 Alternative Routes to Teacher Certification</w:t>
      </w:r>
    </w:p>
    <w:p w:rsidR="00CB15D8" w:rsidRPr="00C863B1" w:rsidRDefault="00CB15D8" w:rsidP="00C863B1">
      <w:pPr>
        <w:pStyle w:val="NoSpacing"/>
        <w:tabs>
          <w:tab w:val="left" w:pos="450"/>
        </w:tabs>
        <w:spacing w:line="276" w:lineRule="auto"/>
        <w:ind w:left="450"/>
        <w:rPr>
          <w:rFonts w:cs="Times New Roman"/>
          <w:color w:val="000000" w:themeColor="text1"/>
          <w:sz w:val="21"/>
          <w:szCs w:val="21"/>
        </w:rPr>
      </w:pPr>
      <w:r w:rsidRPr="00C863B1">
        <w:rPr>
          <w:rFonts w:cs="Times New Roman"/>
          <w:color w:val="000000" w:themeColor="text1"/>
          <w:sz w:val="21"/>
          <w:szCs w:val="21"/>
        </w:rPr>
        <w:t>WSSDA shall initiate and/or support legislation that maintains or increases funding for alternative routes to teacher certification in state-identified shortage areas, particularly for those routes that allow Para- Educators and other classified instructional employees to attain a teaching certificate.  (Adopted 2012)</w:t>
      </w:r>
    </w:p>
    <w:p w:rsidR="00CB15D8" w:rsidRPr="00C863B1" w:rsidRDefault="00CB15D8" w:rsidP="00C863B1">
      <w:pPr>
        <w:pStyle w:val="NoSpacing"/>
        <w:tabs>
          <w:tab w:val="left" w:pos="450"/>
        </w:tabs>
        <w:spacing w:line="276" w:lineRule="auto"/>
        <w:ind w:left="450"/>
        <w:rPr>
          <w:rFonts w:cs="Times New Roman"/>
          <w:color w:val="000000" w:themeColor="text1"/>
          <w:sz w:val="21"/>
          <w:szCs w:val="21"/>
        </w:rPr>
      </w:pPr>
    </w:p>
    <w:p w:rsidR="00CB15D8" w:rsidRPr="00C863B1" w:rsidRDefault="00CB15D8" w:rsidP="00C863B1">
      <w:pPr>
        <w:pStyle w:val="ListParagraph"/>
        <w:numPr>
          <w:ilvl w:val="0"/>
          <w:numId w:val="1"/>
        </w:numPr>
        <w:tabs>
          <w:tab w:val="left" w:pos="450"/>
        </w:tabs>
        <w:spacing w:after="0"/>
        <w:ind w:left="450"/>
        <w:rPr>
          <w:rFonts w:cs="Times New Roman"/>
          <w:b/>
          <w:color w:val="000000" w:themeColor="text1"/>
          <w:sz w:val="21"/>
          <w:szCs w:val="21"/>
        </w:rPr>
      </w:pPr>
      <w:r w:rsidRPr="00C863B1">
        <w:rPr>
          <w:rFonts w:cs="Times New Roman"/>
          <w:b/>
          <w:color w:val="000000" w:themeColor="text1"/>
          <w:sz w:val="21"/>
          <w:szCs w:val="21"/>
        </w:rPr>
        <w:t>7.6.2 Salaries — Experience Recognition</w:t>
      </w:r>
    </w:p>
    <w:p w:rsidR="00CB15D8" w:rsidRPr="00C863B1" w:rsidRDefault="00CB15D8" w:rsidP="00C863B1">
      <w:pPr>
        <w:tabs>
          <w:tab w:val="left" w:pos="450"/>
        </w:tabs>
        <w:spacing w:after="0"/>
        <w:ind w:left="450"/>
        <w:rPr>
          <w:rFonts w:cs="Times New Roman"/>
          <w:color w:val="000000" w:themeColor="text1"/>
          <w:sz w:val="21"/>
          <w:szCs w:val="21"/>
        </w:rPr>
      </w:pPr>
      <w:r w:rsidRPr="00C863B1">
        <w:rPr>
          <w:rFonts w:cs="Times New Roman"/>
          <w:color w:val="000000" w:themeColor="text1"/>
          <w:sz w:val="21"/>
          <w:szCs w:val="21"/>
        </w:rPr>
        <w:t>WSSDA shall initiate and/or support legislation that would recognize employment experience as a registered nurse, occupational therapist, physical therapist, communication disorders specialist/speech pathologist, audiologist, psychologist, social worker, counselor or career/technical education professional in a position which requires Washington state licensing, certification or a degree that is comparable to that required for Washington state teacher certification. (Adopted 2010, Amended 2013)</w:t>
      </w:r>
    </w:p>
    <w:p w:rsidR="00CB15D8" w:rsidRPr="00C863B1" w:rsidRDefault="00CB15D8" w:rsidP="00CB15D8">
      <w:pPr>
        <w:spacing w:after="0"/>
        <w:rPr>
          <w:rFonts w:cs="Times New Roman"/>
          <w:color w:val="000000" w:themeColor="text1"/>
          <w:sz w:val="21"/>
          <w:szCs w:val="21"/>
        </w:rPr>
      </w:pPr>
    </w:p>
    <w:p w:rsidR="00CB15D8" w:rsidRPr="00C863B1" w:rsidRDefault="00CB15D8" w:rsidP="00EF26DA">
      <w:pPr>
        <w:pStyle w:val="NoSpacing"/>
        <w:numPr>
          <w:ilvl w:val="0"/>
          <w:numId w:val="1"/>
        </w:numPr>
        <w:ind w:left="360"/>
        <w:rPr>
          <w:rFonts w:cs="Times New Roman"/>
          <w:sz w:val="21"/>
          <w:szCs w:val="21"/>
        </w:rPr>
      </w:pPr>
      <w:r w:rsidRPr="00C863B1">
        <w:rPr>
          <w:rFonts w:cs="Times New Roman"/>
          <w:b/>
          <w:color w:val="000000" w:themeColor="text1"/>
          <w:sz w:val="21"/>
          <w:szCs w:val="21"/>
        </w:rPr>
        <w:t>7</w:t>
      </w:r>
      <w:r w:rsidRPr="00C863B1">
        <w:rPr>
          <w:rFonts w:cs="Times New Roman"/>
          <w:b/>
          <w:sz w:val="21"/>
          <w:szCs w:val="21"/>
        </w:rPr>
        <w:t>.6.17</w:t>
      </w:r>
      <w:r w:rsidRPr="00C863B1">
        <w:rPr>
          <w:rFonts w:cs="Times New Roman"/>
          <w:sz w:val="21"/>
          <w:szCs w:val="21"/>
        </w:rPr>
        <w:t xml:space="preserve"> </w:t>
      </w:r>
      <w:r w:rsidRPr="00C863B1">
        <w:rPr>
          <w:b/>
          <w:sz w:val="21"/>
          <w:szCs w:val="21"/>
        </w:rPr>
        <w:t>Changing the Ethics Statute to Address Hiring Decisions</w:t>
      </w:r>
    </w:p>
    <w:p w:rsidR="00CB15D8" w:rsidRPr="00C863B1" w:rsidRDefault="00CB15D8" w:rsidP="00EF26DA">
      <w:pPr>
        <w:pStyle w:val="Body0indentfontsize"/>
        <w:spacing w:before="0" w:line="240" w:lineRule="auto"/>
        <w:ind w:left="360"/>
        <w:rPr>
          <w:rFonts w:asciiTheme="minorHAnsi" w:hAnsiTheme="minorHAnsi"/>
          <w:sz w:val="21"/>
          <w:szCs w:val="21"/>
        </w:rPr>
      </w:pPr>
      <w:r w:rsidRPr="00C863B1">
        <w:rPr>
          <w:rFonts w:asciiTheme="minorHAnsi" w:hAnsiTheme="minorHAnsi"/>
          <w:sz w:val="21"/>
          <w:szCs w:val="21"/>
        </w:rPr>
        <w:t>WSSDA shall initiate and/or support legislation to amend RCW 42.23.030(11) to allow second class school districts with fewer than 1,000 students to hire the spouse of a school district officer as a certified or classified employee. (Adopted 2015)</w:t>
      </w:r>
    </w:p>
    <w:p w:rsidR="00393F58" w:rsidRPr="00C863B1" w:rsidRDefault="00393F58" w:rsidP="00EF26DA">
      <w:pPr>
        <w:pStyle w:val="Body0indentfontsize"/>
        <w:spacing w:before="0" w:line="240" w:lineRule="auto"/>
        <w:ind w:left="360"/>
        <w:rPr>
          <w:rFonts w:asciiTheme="minorHAnsi" w:hAnsiTheme="minorHAnsi"/>
          <w:sz w:val="21"/>
          <w:szCs w:val="21"/>
        </w:rPr>
      </w:pPr>
    </w:p>
    <w:p w:rsidR="00CB15D8" w:rsidRPr="00C863B1" w:rsidRDefault="00C863B1" w:rsidP="00EF26DA">
      <w:pPr>
        <w:pStyle w:val="ListParagraph"/>
        <w:numPr>
          <w:ilvl w:val="0"/>
          <w:numId w:val="1"/>
        </w:numPr>
        <w:spacing w:after="0"/>
        <w:ind w:left="360"/>
        <w:rPr>
          <w:b/>
          <w:sz w:val="21"/>
          <w:szCs w:val="21"/>
        </w:rPr>
      </w:pPr>
      <w:r w:rsidRPr="00C863B1">
        <w:rPr>
          <w:b/>
          <w:sz w:val="21"/>
          <w:szCs w:val="21"/>
        </w:rPr>
        <w:t>7.1.26 Professional Development</w:t>
      </w:r>
    </w:p>
    <w:p w:rsidR="00C863B1" w:rsidRPr="00C863B1" w:rsidRDefault="00C863B1" w:rsidP="00EF26DA">
      <w:pPr>
        <w:pStyle w:val="ListParagraph"/>
        <w:spacing w:after="0"/>
        <w:ind w:left="360"/>
        <w:rPr>
          <w:rFonts w:cs="Helvetica"/>
          <w:sz w:val="21"/>
          <w:szCs w:val="21"/>
        </w:rPr>
      </w:pPr>
      <w:r w:rsidRPr="00C863B1">
        <w:rPr>
          <w:rFonts w:cs="Helvetica"/>
          <w:sz w:val="21"/>
          <w:szCs w:val="21"/>
        </w:rPr>
        <w:t>WSSDA shall initiate and/or support legislation that fully funds time and training costs a minimum of 80 hours of annual district directed or approved professional development, collaboration outside the school day, and classroom preparation time (with an additional 16 hours of cultural competency and equity education, for a total minimum of 96 hours) for each certificated classroom teacher in Washington State. (Adopted 2015, amended 2016)</w:t>
      </w:r>
    </w:p>
    <w:p w:rsidR="00C863B1" w:rsidRPr="00C863B1" w:rsidRDefault="00C863B1" w:rsidP="00C863B1">
      <w:pPr>
        <w:pStyle w:val="ListParagraph"/>
        <w:spacing w:after="0"/>
        <w:rPr>
          <w:sz w:val="21"/>
          <w:szCs w:val="21"/>
        </w:rPr>
      </w:pPr>
    </w:p>
    <w:p w:rsidR="00CA63EF" w:rsidRPr="00C863B1" w:rsidRDefault="00CA63EF" w:rsidP="00CA63EF">
      <w:pPr>
        <w:spacing w:after="0"/>
        <w:rPr>
          <w:b/>
          <w:sz w:val="21"/>
          <w:szCs w:val="21"/>
          <w:u w:val="single"/>
        </w:rPr>
      </w:pPr>
      <w:r w:rsidRPr="00C863B1">
        <w:rPr>
          <w:b/>
          <w:sz w:val="21"/>
          <w:szCs w:val="21"/>
          <w:u w:val="single"/>
        </w:rPr>
        <w:t>2016 Newly Proposed Position</w:t>
      </w:r>
      <w:r w:rsidR="00E0572D" w:rsidRPr="00C863B1">
        <w:rPr>
          <w:b/>
          <w:sz w:val="21"/>
          <w:szCs w:val="21"/>
          <w:u w:val="single"/>
        </w:rPr>
        <w:t>s</w:t>
      </w:r>
      <w:r w:rsidRPr="00C863B1">
        <w:rPr>
          <w:b/>
          <w:sz w:val="21"/>
          <w:szCs w:val="21"/>
          <w:u w:val="single"/>
        </w:rPr>
        <w:t>:</w:t>
      </w:r>
    </w:p>
    <w:p w:rsidR="00E0572D" w:rsidRPr="00C863B1" w:rsidRDefault="00E0572D" w:rsidP="00EF26DA">
      <w:pPr>
        <w:pStyle w:val="ListParagraph"/>
        <w:numPr>
          <w:ilvl w:val="0"/>
          <w:numId w:val="1"/>
        </w:numPr>
        <w:spacing w:after="0"/>
        <w:ind w:left="360"/>
        <w:rPr>
          <w:sz w:val="21"/>
          <w:szCs w:val="21"/>
        </w:rPr>
      </w:pPr>
      <w:r w:rsidRPr="00C863B1">
        <w:rPr>
          <w:b/>
          <w:sz w:val="21"/>
          <w:szCs w:val="21"/>
        </w:rPr>
        <w:t xml:space="preserve">Encouraging Diverse Students to Pursue the Teaching Profession – </w:t>
      </w:r>
      <w:r w:rsidRPr="00C863B1">
        <w:rPr>
          <w:sz w:val="21"/>
          <w:szCs w:val="21"/>
        </w:rPr>
        <w:t xml:space="preserve">newly proposed in 2016 WSSDA shall initiate and/or support legislation that proactively encourages students of color, bilingual students, and/or students of diverse backgrounds to choose the teaching profession. </w:t>
      </w:r>
    </w:p>
    <w:p w:rsidR="00E0572D" w:rsidRPr="00C863B1" w:rsidRDefault="00E0572D" w:rsidP="00EF26DA">
      <w:pPr>
        <w:spacing w:after="0"/>
        <w:ind w:left="360"/>
        <w:rPr>
          <w:sz w:val="21"/>
          <w:szCs w:val="21"/>
        </w:rPr>
      </w:pPr>
    </w:p>
    <w:p w:rsidR="00E0572D" w:rsidRPr="00C863B1" w:rsidRDefault="00E0572D" w:rsidP="00EF26DA">
      <w:pPr>
        <w:pStyle w:val="ListParagraph"/>
        <w:numPr>
          <w:ilvl w:val="0"/>
          <w:numId w:val="1"/>
        </w:numPr>
        <w:spacing w:after="0"/>
        <w:ind w:left="360"/>
        <w:rPr>
          <w:sz w:val="21"/>
          <w:szCs w:val="21"/>
        </w:rPr>
      </w:pPr>
      <w:r w:rsidRPr="00C863B1">
        <w:rPr>
          <w:b/>
          <w:sz w:val="21"/>
          <w:szCs w:val="21"/>
        </w:rPr>
        <w:t xml:space="preserve">Recruit and Retain Diverse Teachers– </w:t>
      </w:r>
      <w:r w:rsidRPr="00C863B1">
        <w:rPr>
          <w:sz w:val="21"/>
          <w:szCs w:val="21"/>
        </w:rPr>
        <w:t>newly proposed in 2016 by Legislative Committee</w:t>
      </w:r>
    </w:p>
    <w:p w:rsidR="00E0572D" w:rsidRPr="00C863B1" w:rsidRDefault="00E0572D" w:rsidP="00EF26DA">
      <w:pPr>
        <w:pStyle w:val="ListParagraph"/>
        <w:spacing w:after="0"/>
        <w:ind w:left="360"/>
        <w:rPr>
          <w:sz w:val="21"/>
          <w:szCs w:val="21"/>
        </w:rPr>
      </w:pPr>
      <w:r w:rsidRPr="00C863B1">
        <w:rPr>
          <w:sz w:val="21"/>
          <w:szCs w:val="21"/>
        </w:rPr>
        <w:t>WSSDA shall initiate and/or support legislation and initiatives that promote innovative and intentional strategies to prepare, recruit, and retain teachers from di</w:t>
      </w:r>
      <w:bookmarkStart w:id="0" w:name="_GoBack"/>
      <w:bookmarkEnd w:id="0"/>
      <w:r w:rsidRPr="00C863B1">
        <w:rPr>
          <w:sz w:val="21"/>
          <w:szCs w:val="21"/>
        </w:rPr>
        <w:t>vers</w:t>
      </w:r>
      <w:r w:rsidR="008435D1" w:rsidRPr="00C863B1">
        <w:rPr>
          <w:sz w:val="21"/>
          <w:szCs w:val="21"/>
        </w:rPr>
        <w:t>e</w:t>
      </w:r>
      <w:r w:rsidRPr="00C863B1">
        <w:rPr>
          <w:sz w:val="21"/>
          <w:szCs w:val="21"/>
        </w:rPr>
        <w:t xml:space="preserve"> backgrounds that better reflect the student populations they serve.</w:t>
      </w:r>
    </w:p>
    <w:p w:rsidR="00E0572D" w:rsidRPr="00C863B1" w:rsidRDefault="00E0572D" w:rsidP="00E0572D">
      <w:pPr>
        <w:pStyle w:val="ListParagraph"/>
        <w:spacing w:after="0"/>
        <w:rPr>
          <w:sz w:val="21"/>
          <w:szCs w:val="21"/>
        </w:rPr>
      </w:pPr>
    </w:p>
    <w:p w:rsidR="00747AB4" w:rsidRPr="00C863B1" w:rsidRDefault="00747AB4" w:rsidP="00E0572D">
      <w:pPr>
        <w:pStyle w:val="ListParagraph"/>
        <w:spacing w:after="0"/>
        <w:rPr>
          <w:sz w:val="21"/>
          <w:szCs w:val="21"/>
        </w:rPr>
      </w:pPr>
    </w:p>
    <w:p w:rsidR="00CA63EF" w:rsidRPr="00C863B1" w:rsidRDefault="00CA63EF" w:rsidP="00CA63EF">
      <w:pPr>
        <w:pStyle w:val="ListParagraph"/>
        <w:numPr>
          <w:ilvl w:val="0"/>
          <w:numId w:val="1"/>
        </w:numPr>
        <w:spacing w:after="0"/>
        <w:rPr>
          <w:b/>
          <w:sz w:val="21"/>
          <w:szCs w:val="21"/>
        </w:rPr>
      </w:pPr>
      <w:r w:rsidRPr="00C863B1">
        <w:rPr>
          <w:b/>
          <w:sz w:val="21"/>
          <w:szCs w:val="21"/>
        </w:rPr>
        <w:t>Teacher Shortage –</w:t>
      </w:r>
      <w:r w:rsidRPr="00C863B1">
        <w:rPr>
          <w:sz w:val="21"/>
          <w:szCs w:val="21"/>
        </w:rPr>
        <w:t xml:space="preserve"> newly proposed in 2016 by Yakima</w:t>
      </w:r>
    </w:p>
    <w:p w:rsidR="00CA63EF" w:rsidRPr="00C863B1" w:rsidRDefault="00CA63EF" w:rsidP="00CA63EF">
      <w:pPr>
        <w:pStyle w:val="BodyText"/>
        <w:spacing w:before="0"/>
        <w:ind w:left="720" w:right="386"/>
        <w:rPr>
          <w:rFonts w:asciiTheme="minorHAnsi" w:hAnsiTheme="minorHAnsi" w:cs="Helvetica"/>
          <w:sz w:val="21"/>
          <w:szCs w:val="21"/>
        </w:rPr>
      </w:pPr>
      <w:r w:rsidRPr="00C863B1">
        <w:rPr>
          <w:rFonts w:asciiTheme="minorHAnsi" w:hAnsiTheme="minorHAnsi" w:cs="Helvetica"/>
          <w:sz w:val="21"/>
          <w:szCs w:val="21"/>
        </w:rPr>
        <w:t>WSSDA shall initiate legislation</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and/or</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policies</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that</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remove</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barriers</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which</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are</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furthering</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teacher</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shortages</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and</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preventing</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districts</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from</w:t>
      </w:r>
      <w:r w:rsidRPr="00C863B1">
        <w:rPr>
          <w:rFonts w:asciiTheme="minorHAnsi" w:hAnsiTheme="minorHAnsi" w:cs="Helvetica"/>
          <w:spacing w:val="22"/>
          <w:w w:val="99"/>
          <w:sz w:val="21"/>
          <w:szCs w:val="21"/>
        </w:rPr>
        <w:t xml:space="preserve"> </w:t>
      </w:r>
      <w:r w:rsidRPr="00C863B1">
        <w:rPr>
          <w:rFonts w:asciiTheme="minorHAnsi" w:hAnsiTheme="minorHAnsi" w:cs="Helvetica"/>
          <w:sz w:val="21"/>
          <w:szCs w:val="21"/>
        </w:rPr>
        <w:t>hiring</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highly</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effective</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teachers,</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especially</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those</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who</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have</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graduated</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from</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out</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of</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state</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college/university</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teacher</w:t>
      </w:r>
      <w:r w:rsidRPr="00C863B1">
        <w:rPr>
          <w:rFonts w:asciiTheme="minorHAnsi" w:hAnsiTheme="minorHAnsi" w:cs="Helvetica"/>
          <w:spacing w:val="21"/>
          <w:w w:val="99"/>
          <w:sz w:val="21"/>
          <w:szCs w:val="21"/>
        </w:rPr>
        <w:t xml:space="preserve"> </w:t>
      </w:r>
      <w:r w:rsidRPr="00C863B1">
        <w:rPr>
          <w:rFonts w:asciiTheme="minorHAnsi" w:hAnsiTheme="minorHAnsi" w:cs="Helvetica"/>
          <w:sz w:val="21"/>
          <w:szCs w:val="21"/>
        </w:rPr>
        <w:t>preparation</w:t>
      </w:r>
      <w:r w:rsidRPr="00C863B1">
        <w:rPr>
          <w:rFonts w:asciiTheme="minorHAnsi" w:hAnsiTheme="minorHAnsi" w:cs="Helvetica"/>
          <w:spacing w:val="-9"/>
          <w:sz w:val="21"/>
          <w:szCs w:val="21"/>
        </w:rPr>
        <w:t xml:space="preserve"> </w:t>
      </w:r>
      <w:r w:rsidRPr="00C863B1">
        <w:rPr>
          <w:rFonts w:asciiTheme="minorHAnsi" w:hAnsiTheme="minorHAnsi" w:cs="Helvetica"/>
          <w:sz w:val="21"/>
          <w:szCs w:val="21"/>
        </w:rPr>
        <w:t>programs.</w:t>
      </w:r>
      <w:r w:rsidRPr="00C863B1">
        <w:rPr>
          <w:rFonts w:asciiTheme="minorHAnsi" w:hAnsiTheme="minorHAnsi" w:cs="Helvetica"/>
          <w:spacing w:val="38"/>
          <w:sz w:val="21"/>
          <w:szCs w:val="21"/>
        </w:rPr>
        <w:t xml:space="preserve"> </w:t>
      </w:r>
      <w:r w:rsidRPr="00C863B1">
        <w:rPr>
          <w:rFonts w:asciiTheme="minorHAnsi" w:hAnsiTheme="minorHAnsi" w:cs="Helvetica"/>
          <w:sz w:val="21"/>
          <w:szCs w:val="21"/>
        </w:rPr>
        <w:t>Barrier-busters</w:t>
      </w:r>
      <w:r w:rsidRPr="00C863B1">
        <w:rPr>
          <w:rFonts w:asciiTheme="minorHAnsi" w:hAnsiTheme="minorHAnsi" w:cs="Helvetica"/>
          <w:spacing w:val="-9"/>
          <w:sz w:val="21"/>
          <w:szCs w:val="21"/>
        </w:rPr>
        <w:t xml:space="preserve"> </w:t>
      </w:r>
      <w:r w:rsidRPr="00C863B1">
        <w:rPr>
          <w:rFonts w:asciiTheme="minorHAnsi" w:hAnsiTheme="minorHAnsi" w:cs="Helvetica"/>
          <w:sz w:val="21"/>
          <w:szCs w:val="21"/>
        </w:rPr>
        <w:t>could</w:t>
      </w:r>
      <w:r w:rsidRPr="00C863B1">
        <w:rPr>
          <w:rFonts w:asciiTheme="minorHAnsi" w:hAnsiTheme="minorHAnsi" w:cs="Helvetica"/>
          <w:spacing w:val="-9"/>
          <w:sz w:val="21"/>
          <w:szCs w:val="21"/>
        </w:rPr>
        <w:t xml:space="preserve"> </w:t>
      </w:r>
      <w:r w:rsidRPr="00C863B1">
        <w:rPr>
          <w:rFonts w:asciiTheme="minorHAnsi" w:hAnsiTheme="minorHAnsi" w:cs="Helvetica"/>
          <w:sz w:val="21"/>
          <w:szCs w:val="21"/>
        </w:rPr>
        <w:t>include:</w:t>
      </w:r>
    </w:p>
    <w:p w:rsidR="00CA63EF" w:rsidRPr="00C863B1" w:rsidRDefault="00CA63EF" w:rsidP="00CA63EF">
      <w:pPr>
        <w:pStyle w:val="BodyText"/>
        <w:numPr>
          <w:ilvl w:val="1"/>
          <w:numId w:val="1"/>
        </w:numPr>
        <w:spacing w:before="0"/>
        <w:ind w:right="386"/>
        <w:rPr>
          <w:rFonts w:asciiTheme="minorHAnsi" w:hAnsiTheme="minorHAnsi" w:cs="Helvetica"/>
          <w:sz w:val="21"/>
          <w:szCs w:val="21"/>
        </w:rPr>
      </w:pPr>
      <w:r w:rsidRPr="00C863B1">
        <w:rPr>
          <w:rFonts w:asciiTheme="minorHAnsi" w:hAnsiTheme="minorHAnsi" w:cs="Helvetica"/>
          <w:sz w:val="21"/>
          <w:szCs w:val="21"/>
        </w:rPr>
        <w:t>Promotion</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of</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state-to-state</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reciprocal</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agreements</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and</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elimination</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of</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additional</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testing</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for</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recent</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out</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of</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state</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graduates</w:t>
      </w:r>
      <w:r w:rsidRPr="00C863B1">
        <w:rPr>
          <w:rFonts w:asciiTheme="minorHAnsi" w:hAnsiTheme="minorHAnsi" w:cs="Helvetica"/>
          <w:spacing w:val="23"/>
          <w:w w:val="99"/>
          <w:sz w:val="21"/>
          <w:szCs w:val="21"/>
        </w:rPr>
        <w:t xml:space="preserve"> </w:t>
      </w:r>
      <w:r w:rsidRPr="00C863B1">
        <w:rPr>
          <w:rFonts w:asciiTheme="minorHAnsi" w:hAnsiTheme="minorHAnsi" w:cs="Helvetica"/>
          <w:sz w:val="21"/>
          <w:szCs w:val="21"/>
        </w:rPr>
        <w:t>would</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significantly</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increase</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the</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pool</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of</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available</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teachers</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and</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reduce</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the</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teacher</w:t>
      </w:r>
      <w:r w:rsidRPr="00C863B1">
        <w:rPr>
          <w:rFonts w:asciiTheme="minorHAnsi" w:hAnsiTheme="minorHAnsi" w:cs="Helvetica"/>
          <w:spacing w:val="-7"/>
          <w:sz w:val="21"/>
          <w:szCs w:val="21"/>
        </w:rPr>
        <w:t xml:space="preserve"> </w:t>
      </w:r>
      <w:r w:rsidRPr="00C863B1">
        <w:rPr>
          <w:rFonts w:asciiTheme="minorHAnsi" w:hAnsiTheme="minorHAnsi" w:cs="Helvetica"/>
          <w:sz w:val="21"/>
          <w:szCs w:val="21"/>
        </w:rPr>
        <w:t>shortage.</w:t>
      </w:r>
    </w:p>
    <w:p w:rsidR="00CA63EF" w:rsidRPr="00C863B1" w:rsidRDefault="00CA63EF" w:rsidP="00CA63EF">
      <w:pPr>
        <w:pStyle w:val="BodyText"/>
        <w:numPr>
          <w:ilvl w:val="1"/>
          <w:numId w:val="1"/>
        </w:numPr>
        <w:spacing w:before="0"/>
        <w:ind w:right="386"/>
        <w:rPr>
          <w:rFonts w:asciiTheme="minorHAnsi" w:hAnsiTheme="minorHAnsi" w:cs="Helvetica"/>
          <w:sz w:val="21"/>
          <w:szCs w:val="21"/>
        </w:rPr>
      </w:pPr>
      <w:r w:rsidRPr="00C863B1">
        <w:rPr>
          <w:rFonts w:asciiTheme="minorHAnsi" w:hAnsiTheme="minorHAnsi" w:cs="Helvetica"/>
          <w:sz w:val="21"/>
          <w:szCs w:val="21"/>
        </w:rPr>
        <w:t>Creating</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state</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level</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incentives</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for</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teachers</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to</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consider</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hard-to-staff</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schools</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would</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help</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reduce</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the</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“bidding</w:t>
      </w:r>
      <w:r w:rsidRPr="00C863B1">
        <w:rPr>
          <w:rFonts w:asciiTheme="minorHAnsi" w:hAnsiTheme="minorHAnsi" w:cs="Helvetica"/>
          <w:spacing w:val="-5"/>
          <w:sz w:val="21"/>
          <w:szCs w:val="21"/>
        </w:rPr>
        <w:t xml:space="preserve"> </w:t>
      </w:r>
      <w:r w:rsidRPr="00C863B1">
        <w:rPr>
          <w:rFonts w:asciiTheme="minorHAnsi" w:hAnsiTheme="minorHAnsi" w:cs="Helvetica"/>
          <w:sz w:val="21"/>
          <w:szCs w:val="21"/>
        </w:rPr>
        <w:t>wars”</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that</w:t>
      </w:r>
      <w:r w:rsidRPr="00C863B1">
        <w:rPr>
          <w:rFonts w:asciiTheme="minorHAnsi" w:hAnsiTheme="minorHAnsi" w:cs="Helvetica"/>
          <w:spacing w:val="23"/>
          <w:w w:val="99"/>
          <w:sz w:val="21"/>
          <w:szCs w:val="21"/>
        </w:rPr>
        <w:t xml:space="preserve"> </w:t>
      </w:r>
      <w:r w:rsidRPr="00C863B1">
        <w:rPr>
          <w:rFonts w:asciiTheme="minorHAnsi" w:hAnsiTheme="minorHAnsi" w:cs="Helvetica"/>
          <w:sz w:val="21"/>
          <w:szCs w:val="21"/>
        </w:rPr>
        <w:t>pit</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one</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district</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against</w:t>
      </w:r>
      <w:r w:rsidRPr="00C863B1">
        <w:rPr>
          <w:rFonts w:asciiTheme="minorHAnsi" w:hAnsiTheme="minorHAnsi" w:cs="Helvetica"/>
          <w:spacing w:val="-6"/>
          <w:sz w:val="21"/>
          <w:szCs w:val="21"/>
        </w:rPr>
        <w:t xml:space="preserve"> </w:t>
      </w:r>
      <w:r w:rsidRPr="00C863B1">
        <w:rPr>
          <w:rFonts w:asciiTheme="minorHAnsi" w:hAnsiTheme="minorHAnsi" w:cs="Helvetica"/>
          <w:sz w:val="21"/>
          <w:szCs w:val="21"/>
        </w:rPr>
        <w:t>others.</w:t>
      </w:r>
    </w:p>
    <w:p w:rsidR="00CA63EF" w:rsidRPr="00C863B1" w:rsidRDefault="00CA63EF" w:rsidP="00CB15D8">
      <w:pPr>
        <w:pStyle w:val="BodyText"/>
        <w:numPr>
          <w:ilvl w:val="1"/>
          <w:numId w:val="1"/>
        </w:numPr>
        <w:spacing w:before="0"/>
        <w:ind w:right="386"/>
        <w:rPr>
          <w:sz w:val="21"/>
          <w:szCs w:val="21"/>
        </w:rPr>
      </w:pPr>
      <w:r w:rsidRPr="00C863B1">
        <w:rPr>
          <w:rFonts w:asciiTheme="minorHAnsi" w:hAnsiTheme="minorHAnsi" w:cs="Helvetica"/>
          <w:sz w:val="21"/>
          <w:szCs w:val="21"/>
        </w:rPr>
        <w:t>Development of waivers for Class II school districts to allow for the hiring of spouses of district officers to fill teaching positions.</w:t>
      </w:r>
    </w:p>
    <w:sectPr w:rsidR="00CA63EF" w:rsidRPr="00C863B1" w:rsidSect="00EF26DA">
      <w:headerReference w:type="default" r:id="rId8"/>
      <w:footerReference w:type="default" r:id="rId9"/>
      <w:pgSz w:w="12240" w:h="15840"/>
      <w:pgMar w:top="720" w:right="720" w:bottom="720" w:left="720" w:header="270" w:footer="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34" w:rsidRDefault="000E6934" w:rsidP="00C863B1">
      <w:pPr>
        <w:spacing w:after="0" w:line="240" w:lineRule="auto"/>
      </w:pPr>
      <w:r>
        <w:separator/>
      </w:r>
    </w:p>
  </w:endnote>
  <w:endnote w:type="continuationSeparator" w:id="0">
    <w:p w:rsidR="000E6934" w:rsidRDefault="000E6934" w:rsidP="00C8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998317"/>
      <w:docPartObj>
        <w:docPartGallery w:val="Page Numbers (Bottom of Page)"/>
        <w:docPartUnique/>
      </w:docPartObj>
    </w:sdtPr>
    <w:sdtEndPr>
      <w:rPr>
        <w:noProof/>
      </w:rPr>
    </w:sdtEndPr>
    <w:sdtContent>
      <w:p w:rsidR="00EF26DA" w:rsidRDefault="00EF26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F26DA" w:rsidRDefault="00EF2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34" w:rsidRDefault="000E6934" w:rsidP="00C863B1">
      <w:pPr>
        <w:spacing w:after="0" w:line="240" w:lineRule="auto"/>
      </w:pPr>
      <w:r>
        <w:separator/>
      </w:r>
    </w:p>
  </w:footnote>
  <w:footnote w:type="continuationSeparator" w:id="0">
    <w:p w:rsidR="000E6934" w:rsidRDefault="000E6934" w:rsidP="00C86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B1" w:rsidRDefault="00C863B1">
    <w:pPr>
      <w:pStyle w:val="Header"/>
    </w:pPr>
    <w:r>
      <w:t>WSSDA Member Resource</w:t>
    </w:r>
  </w:p>
  <w:p w:rsidR="00C863B1" w:rsidRDefault="00C863B1">
    <w:pPr>
      <w:pStyle w:val="Header"/>
    </w:pPr>
    <w:r>
      <w:t>August 2016</w:t>
    </w:r>
  </w:p>
  <w:p w:rsidR="00C863B1" w:rsidRDefault="00C86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7C0D"/>
    <w:multiLevelType w:val="multilevel"/>
    <w:tmpl w:val="7EEC8EEC"/>
    <w:lvl w:ilvl="0">
      <w:start w:val="4"/>
      <w:numFmt w:val="decimal"/>
      <w:lvlText w:val="%1"/>
      <w:lvlJc w:val="left"/>
      <w:pPr>
        <w:ind w:left="954" w:hanging="855"/>
      </w:pPr>
      <w:rPr>
        <w:rFonts w:asciiTheme="minorHAnsi" w:eastAsia="PMingLiU" w:hAnsiTheme="minorHAnsi" w:hint="default"/>
        <w:b/>
        <w:color w:val="010202"/>
        <w:w w:val="90"/>
        <w:sz w:val="40"/>
        <w:szCs w:val="40"/>
      </w:rPr>
    </w:lvl>
    <w:lvl w:ilvl="1">
      <w:start w:val="1"/>
      <w:numFmt w:val="decimal"/>
      <w:lvlText w:val="%1.%2"/>
      <w:lvlJc w:val="left"/>
      <w:pPr>
        <w:ind w:left="955" w:hanging="856"/>
      </w:pPr>
      <w:rPr>
        <w:rFonts w:asciiTheme="minorHAnsi" w:eastAsia="Arial" w:hAnsiTheme="minorHAnsi" w:hint="default"/>
        <w:b/>
        <w:bCs/>
        <w:color w:val="auto"/>
        <w:w w:val="106"/>
        <w:sz w:val="32"/>
        <w:szCs w:val="32"/>
      </w:rPr>
    </w:lvl>
    <w:lvl w:ilvl="2">
      <w:start w:val="1"/>
      <w:numFmt w:val="decimal"/>
      <w:lvlText w:val="%1.%2.%3"/>
      <w:lvlJc w:val="left"/>
      <w:pPr>
        <w:ind w:left="954" w:hanging="855"/>
      </w:pPr>
      <w:rPr>
        <w:rFonts w:asciiTheme="minorHAnsi" w:eastAsia="Arial" w:hAnsiTheme="minorHAnsi" w:hint="default"/>
        <w:b/>
        <w:bCs/>
        <w:color w:val="010202"/>
        <w:w w:val="106"/>
        <w:sz w:val="24"/>
        <w:szCs w:val="24"/>
      </w:rPr>
    </w:lvl>
    <w:lvl w:ilvl="3">
      <w:start w:val="1"/>
      <w:numFmt w:val="bullet"/>
      <w:lvlText w:val="•"/>
      <w:lvlJc w:val="left"/>
      <w:pPr>
        <w:ind w:left="955" w:hanging="855"/>
      </w:pPr>
      <w:rPr>
        <w:rFonts w:hint="default"/>
      </w:rPr>
    </w:lvl>
    <w:lvl w:ilvl="4">
      <w:start w:val="1"/>
      <w:numFmt w:val="bullet"/>
      <w:lvlText w:val="•"/>
      <w:lvlJc w:val="left"/>
      <w:pPr>
        <w:ind w:left="974" w:hanging="855"/>
      </w:pPr>
      <w:rPr>
        <w:rFonts w:hint="default"/>
      </w:rPr>
    </w:lvl>
    <w:lvl w:ilvl="5">
      <w:start w:val="1"/>
      <w:numFmt w:val="bullet"/>
      <w:lvlText w:val="•"/>
      <w:lvlJc w:val="left"/>
      <w:pPr>
        <w:ind w:left="975" w:hanging="855"/>
      </w:pPr>
      <w:rPr>
        <w:rFonts w:hint="default"/>
      </w:rPr>
    </w:lvl>
    <w:lvl w:ilvl="6">
      <w:start w:val="1"/>
      <w:numFmt w:val="bullet"/>
      <w:lvlText w:val="•"/>
      <w:lvlJc w:val="left"/>
      <w:pPr>
        <w:ind w:left="2728" w:hanging="855"/>
      </w:pPr>
      <w:rPr>
        <w:rFonts w:hint="default"/>
      </w:rPr>
    </w:lvl>
    <w:lvl w:ilvl="7">
      <w:start w:val="1"/>
      <w:numFmt w:val="bullet"/>
      <w:lvlText w:val="•"/>
      <w:lvlJc w:val="left"/>
      <w:pPr>
        <w:ind w:left="4481" w:hanging="855"/>
      </w:pPr>
      <w:rPr>
        <w:rFonts w:hint="default"/>
      </w:rPr>
    </w:lvl>
    <w:lvl w:ilvl="8">
      <w:start w:val="1"/>
      <w:numFmt w:val="bullet"/>
      <w:lvlText w:val="•"/>
      <w:lvlJc w:val="left"/>
      <w:pPr>
        <w:ind w:left="6234" w:hanging="855"/>
      </w:pPr>
      <w:rPr>
        <w:rFonts w:hint="default"/>
      </w:rPr>
    </w:lvl>
  </w:abstractNum>
  <w:abstractNum w:abstractNumId="1">
    <w:nsid w:val="56872EF4"/>
    <w:multiLevelType w:val="hybridMultilevel"/>
    <w:tmpl w:val="1438EFBE"/>
    <w:lvl w:ilvl="0" w:tplc="04090001">
      <w:start w:val="1"/>
      <w:numFmt w:val="bullet"/>
      <w:lvlText w:val=""/>
      <w:lvlJc w:val="left"/>
      <w:pPr>
        <w:ind w:left="1674" w:hanging="360"/>
      </w:pPr>
      <w:rPr>
        <w:rFonts w:ascii="Symbol" w:hAnsi="Symbol" w:hint="default"/>
      </w:rPr>
    </w:lvl>
    <w:lvl w:ilvl="1" w:tplc="04090003" w:tentative="1">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2">
    <w:nsid w:val="70D73FC0"/>
    <w:multiLevelType w:val="hybridMultilevel"/>
    <w:tmpl w:val="7812E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7B00B0"/>
    <w:multiLevelType w:val="multilevel"/>
    <w:tmpl w:val="7EEC8EEC"/>
    <w:lvl w:ilvl="0">
      <w:start w:val="4"/>
      <w:numFmt w:val="decimal"/>
      <w:lvlText w:val="%1"/>
      <w:lvlJc w:val="left"/>
      <w:pPr>
        <w:ind w:left="954" w:hanging="855"/>
      </w:pPr>
      <w:rPr>
        <w:rFonts w:asciiTheme="minorHAnsi" w:eastAsia="PMingLiU" w:hAnsiTheme="minorHAnsi" w:hint="default"/>
        <w:b/>
        <w:color w:val="010202"/>
        <w:w w:val="90"/>
        <w:sz w:val="40"/>
        <w:szCs w:val="40"/>
      </w:rPr>
    </w:lvl>
    <w:lvl w:ilvl="1">
      <w:start w:val="1"/>
      <w:numFmt w:val="decimal"/>
      <w:lvlText w:val="%1.%2"/>
      <w:lvlJc w:val="left"/>
      <w:pPr>
        <w:ind w:left="955" w:hanging="856"/>
      </w:pPr>
      <w:rPr>
        <w:rFonts w:asciiTheme="minorHAnsi" w:eastAsia="Arial" w:hAnsiTheme="minorHAnsi" w:hint="default"/>
        <w:b/>
        <w:bCs/>
        <w:color w:val="auto"/>
        <w:w w:val="106"/>
        <w:sz w:val="32"/>
        <w:szCs w:val="32"/>
      </w:rPr>
    </w:lvl>
    <w:lvl w:ilvl="2">
      <w:start w:val="1"/>
      <w:numFmt w:val="decimal"/>
      <w:lvlText w:val="%1.%2.%3"/>
      <w:lvlJc w:val="left"/>
      <w:pPr>
        <w:ind w:left="954" w:hanging="855"/>
      </w:pPr>
      <w:rPr>
        <w:rFonts w:asciiTheme="minorHAnsi" w:eastAsia="Arial" w:hAnsiTheme="minorHAnsi" w:hint="default"/>
        <w:b/>
        <w:bCs/>
        <w:color w:val="010202"/>
        <w:w w:val="106"/>
        <w:sz w:val="24"/>
        <w:szCs w:val="24"/>
      </w:rPr>
    </w:lvl>
    <w:lvl w:ilvl="3">
      <w:start w:val="1"/>
      <w:numFmt w:val="bullet"/>
      <w:lvlText w:val="•"/>
      <w:lvlJc w:val="left"/>
      <w:pPr>
        <w:ind w:left="955" w:hanging="855"/>
      </w:pPr>
      <w:rPr>
        <w:rFonts w:hint="default"/>
      </w:rPr>
    </w:lvl>
    <w:lvl w:ilvl="4">
      <w:start w:val="1"/>
      <w:numFmt w:val="bullet"/>
      <w:lvlText w:val="•"/>
      <w:lvlJc w:val="left"/>
      <w:pPr>
        <w:ind w:left="974" w:hanging="855"/>
      </w:pPr>
      <w:rPr>
        <w:rFonts w:hint="default"/>
      </w:rPr>
    </w:lvl>
    <w:lvl w:ilvl="5">
      <w:start w:val="1"/>
      <w:numFmt w:val="bullet"/>
      <w:lvlText w:val="•"/>
      <w:lvlJc w:val="left"/>
      <w:pPr>
        <w:ind w:left="975" w:hanging="855"/>
      </w:pPr>
      <w:rPr>
        <w:rFonts w:hint="default"/>
      </w:rPr>
    </w:lvl>
    <w:lvl w:ilvl="6">
      <w:start w:val="1"/>
      <w:numFmt w:val="bullet"/>
      <w:lvlText w:val="•"/>
      <w:lvlJc w:val="left"/>
      <w:pPr>
        <w:ind w:left="2728" w:hanging="855"/>
      </w:pPr>
      <w:rPr>
        <w:rFonts w:hint="default"/>
      </w:rPr>
    </w:lvl>
    <w:lvl w:ilvl="7">
      <w:start w:val="1"/>
      <w:numFmt w:val="bullet"/>
      <w:lvlText w:val="•"/>
      <w:lvlJc w:val="left"/>
      <w:pPr>
        <w:ind w:left="4481" w:hanging="855"/>
      </w:pPr>
      <w:rPr>
        <w:rFonts w:hint="default"/>
      </w:rPr>
    </w:lvl>
    <w:lvl w:ilvl="8">
      <w:start w:val="1"/>
      <w:numFmt w:val="bullet"/>
      <w:lvlText w:val="•"/>
      <w:lvlJc w:val="left"/>
      <w:pPr>
        <w:ind w:left="6234" w:hanging="855"/>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D8"/>
    <w:rsid w:val="000E6934"/>
    <w:rsid w:val="001344F2"/>
    <w:rsid w:val="00393F58"/>
    <w:rsid w:val="005E3AA8"/>
    <w:rsid w:val="006C62ED"/>
    <w:rsid w:val="00747AB4"/>
    <w:rsid w:val="008435D1"/>
    <w:rsid w:val="00C105F8"/>
    <w:rsid w:val="00C30EBE"/>
    <w:rsid w:val="00C863B1"/>
    <w:rsid w:val="00CA63EF"/>
    <w:rsid w:val="00CB15D8"/>
    <w:rsid w:val="00E0572D"/>
    <w:rsid w:val="00EF26DA"/>
    <w:rsid w:val="00FA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B15D8"/>
    <w:pPr>
      <w:widowControl w:val="0"/>
      <w:spacing w:before="154" w:after="0" w:line="240" w:lineRule="auto"/>
      <w:ind w:left="216"/>
    </w:pPr>
    <w:rPr>
      <w:rFonts w:ascii="Arial" w:eastAsia="Arial" w:hAnsi="Arial"/>
      <w:sz w:val="20"/>
      <w:szCs w:val="20"/>
    </w:rPr>
  </w:style>
  <w:style w:type="character" w:customStyle="1" w:styleId="BodyTextChar">
    <w:name w:val="Body Text Char"/>
    <w:basedOn w:val="DefaultParagraphFont"/>
    <w:link w:val="BodyText"/>
    <w:uiPriority w:val="1"/>
    <w:rsid w:val="00CB15D8"/>
    <w:rPr>
      <w:rFonts w:ascii="Arial" w:eastAsia="Arial" w:hAnsi="Arial"/>
      <w:sz w:val="20"/>
      <w:szCs w:val="20"/>
    </w:rPr>
  </w:style>
  <w:style w:type="paragraph" w:styleId="ListParagraph">
    <w:name w:val="List Paragraph"/>
    <w:basedOn w:val="Normal"/>
    <w:uiPriority w:val="1"/>
    <w:qFormat/>
    <w:rsid w:val="00CB15D8"/>
    <w:pPr>
      <w:ind w:left="720"/>
      <w:contextualSpacing/>
    </w:pPr>
  </w:style>
  <w:style w:type="paragraph" w:styleId="NoSpacing">
    <w:name w:val="No Spacing"/>
    <w:uiPriority w:val="1"/>
    <w:qFormat/>
    <w:rsid w:val="00CB15D8"/>
    <w:pPr>
      <w:spacing w:after="0" w:line="240" w:lineRule="auto"/>
    </w:pPr>
    <w:rPr>
      <w:rFonts w:eastAsiaTheme="minorEastAsia"/>
    </w:rPr>
  </w:style>
  <w:style w:type="paragraph" w:customStyle="1" w:styleId="Body0indentfontsize">
    <w:name w:val="Body.0 (indent + font size)"/>
    <w:basedOn w:val="Normal"/>
    <w:uiPriority w:val="99"/>
    <w:rsid w:val="00CB15D8"/>
    <w:pPr>
      <w:suppressAutoHyphens/>
      <w:autoSpaceDE w:val="0"/>
      <w:autoSpaceDN w:val="0"/>
      <w:adjustRightInd w:val="0"/>
      <w:spacing w:before="220" w:after="0" w:line="270" w:lineRule="atLeast"/>
      <w:ind w:left="960"/>
      <w:textAlignment w:val="center"/>
    </w:pPr>
    <w:rPr>
      <w:rFonts w:ascii="HelveticaNeueLT Std" w:hAnsi="HelveticaNeueLT Std" w:cs="HelveticaNeueLT Std"/>
      <w:color w:val="000000"/>
      <w:sz w:val="24"/>
      <w:szCs w:val="24"/>
    </w:rPr>
  </w:style>
  <w:style w:type="paragraph" w:styleId="Header">
    <w:name w:val="header"/>
    <w:basedOn w:val="Normal"/>
    <w:link w:val="HeaderChar"/>
    <w:uiPriority w:val="99"/>
    <w:unhideWhenUsed/>
    <w:rsid w:val="00C86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3B1"/>
  </w:style>
  <w:style w:type="paragraph" w:styleId="Footer">
    <w:name w:val="footer"/>
    <w:basedOn w:val="Normal"/>
    <w:link w:val="FooterChar"/>
    <w:uiPriority w:val="99"/>
    <w:unhideWhenUsed/>
    <w:rsid w:val="00C86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3B1"/>
  </w:style>
  <w:style w:type="paragraph" w:styleId="BalloonText">
    <w:name w:val="Balloon Text"/>
    <w:basedOn w:val="Normal"/>
    <w:link w:val="BalloonTextChar"/>
    <w:uiPriority w:val="99"/>
    <w:semiHidden/>
    <w:unhideWhenUsed/>
    <w:rsid w:val="00C86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B15D8"/>
    <w:pPr>
      <w:widowControl w:val="0"/>
      <w:spacing w:before="154" w:after="0" w:line="240" w:lineRule="auto"/>
      <w:ind w:left="216"/>
    </w:pPr>
    <w:rPr>
      <w:rFonts w:ascii="Arial" w:eastAsia="Arial" w:hAnsi="Arial"/>
      <w:sz w:val="20"/>
      <w:szCs w:val="20"/>
    </w:rPr>
  </w:style>
  <w:style w:type="character" w:customStyle="1" w:styleId="BodyTextChar">
    <w:name w:val="Body Text Char"/>
    <w:basedOn w:val="DefaultParagraphFont"/>
    <w:link w:val="BodyText"/>
    <w:uiPriority w:val="1"/>
    <w:rsid w:val="00CB15D8"/>
    <w:rPr>
      <w:rFonts w:ascii="Arial" w:eastAsia="Arial" w:hAnsi="Arial"/>
      <w:sz w:val="20"/>
      <w:szCs w:val="20"/>
    </w:rPr>
  </w:style>
  <w:style w:type="paragraph" w:styleId="ListParagraph">
    <w:name w:val="List Paragraph"/>
    <w:basedOn w:val="Normal"/>
    <w:uiPriority w:val="1"/>
    <w:qFormat/>
    <w:rsid w:val="00CB15D8"/>
    <w:pPr>
      <w:ind w:left="720"/>
      <w:contextualSpacing/>
    </w:pPr>
  </w:style>
  <w:style w:type="paragraph" w:styleId="NoSpacing">
    <w:name w:val="No Spacing"/>
    <w:uiPriority w:val="1"/>
    <w:qFormat/>
    <w:rsid w:val="00CB15D8"/>
    <w:pPr>
      <w:spacing w:after="0" w:line="240" w:lineRule="auto"/>
    </w:pPr>
    <w:rPr>
      <w:rFonts w:eastAsiaTheme="minorEastAsia"/>
    </w:rPr>
  </w:style>
  <w:style w:type="paragraph" w:customStyle="1" w:styleId="Body0indentfontsize">
    <w:name w:val="Body.0 (indent + font size)"/>
    <w:basedOn w:val="Normal"/>
    <w:uiPriority w:val="99"/>
    <w:rsid w:val="00CB15D8"/>
    <w:pPr>
      <w:suppressAutoHyphens/>
      <w:autoSpaceDE w:val="0"/>
      <w:autoSpaceDN w:val="0"/>
      <w:adjustRightInd w:val="0"/>
      <w:spacing w:before="220" w:after="0" w:line="270" w:lineRule="atLeast"/>
      <w:ind w:left="960"/>
      <w:textAlignment w:val="center"/>
    </w:pPr>
    <w:rPr>
      <w:rFonts w:ascii="HelveticaNeueLT Std" w:hAnsi="HelveticaNeueLT Std" w:cs="HelveticaNeueLT Std"/>
      <w:color w:val="000000"/>
      <w:sz w:val="24"/>
      <w:szCs w:val="24"/>
    </w:rPr>
  </w:style>
  <w:style w:type="paragraph" w:styleId="Header">
    <w:name w:val="header"/>
    <w:basedOn w:val="Normal"/>
    <w:link w:val="HeaderChar"/>
    <w:uiPriority w:val="99"/>
    <w:unhideWhenUsed/>
    <w:rsid w:val="00C86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3B1"/>
  </w:style>
  <w:style w:type="paragraph" w:styleId="Footer">
    <w:name w:val="footer"/>
    <w:basedOn w:val="Normal"/>
    <w:link w:val="FooterChar"/>
    <w:uiPriority w:val="99"/>
    <w:unhideWhenUsed/>
    <w:rsid w:val="00C86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3B1"/>
  </w:style>
  <w:style w:type="paragraph" w:styleId="BalloonText">
    <w:name w:val="Balloon Text"/>
    <w:basedOn w:val="Normal"/>
    <w:link w:val="BalloonTextChar"/>
    <w:uiPriority w:val="99"/>
    <w:semiHidden/>
    <w:unhideWhenUsed/>
    <w:rsid w:val="00C86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Vavrus, Jessica (WSSDA)</dc:creator>
  <cp:lastModifiedBy>Vavrus, Jessica (WSSDA)</cp:lastModifiedBy>
  <cp:revision>3</cp:revision>
  <dcterms:created xsi:type="dcterms:W3CDTF">2016-08-23T14:33:00Z</dcterms:created>
  <dcterms:modified xsi:type="dcterms:W3CDTF">2016-09-19T15:25:00Z</dcterms:modified>
</cp:coreProperties>
</file>